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8A6526"/>
          <w:sz w:val="15"/>
          <w:szCs w:val="15"/>
        </w:rPr>
        <w:t xml:space="preserve">BATESVILLE MEDIA LLC · CONFIDENTIAL</w:t>
      </w:r>
    </w:p>
    <w:p>
      <w:pPr>
        <w:pBdr>
          <w:bottom w:val="single" w:color="8A6526" w:sz="12"/>
        </w:pBdr>
        <w:spacing w:after="60"/>
      </w:pPr>
      <w:r>
        <w:rPr>
          <w:rFonts w:ascii="Georgia" w:cs="Georgia" w:eastAsia="Georgia" w:hAnsi="Georgia"/>
          <w:b/>
          <w:bCs/>
          <w:color w:val="15203A"/>
          <w:sz w:val="34"/>
          <w:szCs w:val="34"/>
        </w:rPr>
        <w:t xml:space="preserve">B-Ville Launch Pad Suite™ — Master Pricing Reference</w:t>
      </w:r>
    </w:p>
    <w:p>
      <w:pPr>
        <w:spacing w:after="160" w:before="0"/>
      </w:pPr>
      <w:r>
        <w:rPr>
          <w:rFonts w:ascii="Calibri" w:cs="Calibri" w:eastAsia="Calibri" w:hAnsi="Calibri"/>
          <w:i/>
          <w:iCs/>
          <w:color w:val="5C5A52"/>
          <w:sz w:val="17"/>
          <w:szCs w:val="17"/>
        </w:rPr>
        <w:t xml:space="preserve">Version 2.3 · July 2026 · Supersedes all prior pricing documents · Single source of truth</w:t>
      </w:r>
    </w:p>
    <w:p>
      <w:pPr>
        <w:spacing w:after="180" w:before="0"/>
      </w:pPr>
      <w:r>
        <w:rPr>
          <w:rFonts w:ascii="Calibri" w:cs="Calibri" w:eastAsia="Calibri" w:hAnsi="Calibri"/>
          <w:color w:val="20242E"/>
          <w:sz w:val="19"/>
          <w:szCs w:val="19"/>
        </w:rPr>
        <w:t xml:space="preserve">This version merges the Tier Limitations spec into the Master Pricing Reference. Every limit is expressed in features a writer recognizes by name. Every margin is computed from the live Enhancer codebase. Where prior documents conflicted, this one wins.</w:t>
      </w:r>
    </w:p>
    <w:p>
      <w:pPr>
        <w:pStyle w:val="Heading1"/>
        <w:spacing w:after="140" w:before="300"/>
      </w:pPr>
      <w:r>
        <w:rPr>
          <w:rFonts w:ascii="Georgia" w:cs="Georgia" w:eastAsia="Georgia" w:hAnsi="Georgia"/>
          <w:b/>
          <w:bCs/>
          <w:color w:val="15203A"/>
          <w:sz w:val="28"/>
          <w:szCs w:val="28"/>
        </w:rPr>
        <w:t xml:space="preserve">Enhancer — B2C</w:t>
      </w:r>
    </w:p>
    <w:p>
      <w:pPr>
        <w:spacing w:after="100" w:before="0"/>
      </w:pPr>
      <w:r>
        <w:rPr>
          <w:rFonts w:ascii="Calibri" w:cs="Calibri" w:eastAsia="Calibri" w:hAnsi="Calibri"/>
          <w:color w:val="5C5A52"/>
          <w:sz w:val="17"/>
          <w:szCs w:val="17"/>
        </w:rPr>
        <w:t xml:space="preserve">Individual writers, novelists, and filmmakers. Launches October 2026.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50"/>
        <w:gridCol w:w="1750"/>
        <w:gridCol w:w="1800"/>
        <w:gridCol w:w="1900"/>
        <w:gridCol w:w="2150"/>
        <w:gridCol w:w="3450"/>
      </w:tblGrid>
      <w:tr>
        <w:trPr>
          <w:tblHeader/>
        </w:trPr>
        <w:tc>
          <w:tcPr>
            <w:tcW w:type="dxa" w:w="235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175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7-Day Trial</w:t>
            </w:r>
          </w:p>
        </w:tc>
        <w:tc>
          <w:tcPr>
            <w:tcW w:type="dxa" w:w="180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Starter</w:t>
            </w:r>
          </w:p>
        </w:tc>
        <w:tc>
          <w:tcPr>
            <w:tcW w:type="dxa" w:w="190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Standard</w:t>
            </w:r>
          </w:p>
        </w:tc>
        <w:tc>
          <w:tcPr>
            <w:tcW w:type="dxa" w:w="215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Premium Pro</w:t>
            </w:r>
          </w:p>
        </w:tc>
        <w:tc>
          <w:tcPr>
            <w:tcW w:type="dxa" w:w="345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Founder’s Circle</w:t>
            </w:r>
          </w:p>
        </w:tc>
      </w:tr>
      <w:tr>
        <w:tc>
          <w:tcPr>
            <w:tcW w:type="dxa" w:w="2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MONTHLY</w:t>
            </w:r>
          </w:p>
        </w:tc>
        <w:tc>
          <w:tcPr>
            <w:tcW w:type="dxa" w:w="17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Card required</w:t>
            </w:r>
          </w:p>
        </w:tc>
        <w:tc>
          <w:tcPr>
            <w:tcW w:type="dxa" w:w="18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$25 / mo</w:t>
            </w:r>
          </w:p>
        </w:tc>
        <w:tc>
          <w:tcPr>
            <w:tcW w:type="dxa" w:w="19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$59 / mo</w:t>
            </w:r>
          </w:p>
        </w:tc>
        <w:tc>
          <w:tcPr>
            <w:tcW w:type="dxa" w:w="21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$125 / mo</w:t>
            </w:r>
          </w:p>
        </w:tc>
        <w:tc>
          <w:tcPr>
            <w:tcW w:type="dxa" w:w="34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A32D2D"/>
                <w:sz w:val="16"/>
                <w:szCs w:val="16"/>
              </w:rPr>
              <w:t xml:space="preserve">—</w:t>
            </w:r>
          </w:p>
        </w:tc>
      </w:tr>
      <w:tr>
        <w:tc>
          <w:tcPr>
            <w:tcW w:type="dxa" w:w="2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ANNUAL (save 20%)</w:t>
            </w:r>
          </w:p>
        </w:tc>
        <w:tc>
          <w:tcPr>
            <w:tcW w:type="dxa" w:w="17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A32D2D"/>
                <w:sz w:val="16"/>
                <w:szCs w:val="16"/>
              </w:rPr>
              <w:t xml:space="preserve">—</w:t>
            </w:r>
          </w:p>
        </w:tc>
        <w:tc>
          <w:tcPr>
            <w:tcW w:type="dxa" w:w="18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$240 / yr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($20 / mo)</w:t>
            </w:r>
          </w:p>
        </w:tc>
        <w:tc>
          <w:tcPr>
            <w:tcW w:type="dxa" w:w="19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$566 / yr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($47 / mo)</w:t>
            </w:r>
          </w:p>
        </w:tc>
        <w:tc>
          <w:tcPr>
            <w:tcW w:type="dxa" w:w="21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$1,200 / yr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($100 / mo)</w:t>
            </w:r>
          </w:p>
        </w:tc>
        <w:tc>
          <w:tcPr>
            <w:tcW w:type="dxa" w:w="34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$1,997 / yr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($166 / mo)</w:t>
            </w:r>
          </w:p>
        </w:tc>
      </w:tr>
      <w:tr>
        <w:tc>
          <w:tcPr>
            <w:tcW w:type="dxa" w:w="2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Who it's for</w:t>
            </w:r>
          </w:p>
        </w:tc>
        <w:tc>
          <w:tcPr>
            <w:tcW w:type="dxa" w:w="17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Evaluating</w:t>
            </w:r>
          </w:p>
        </w:tc>
        <w:tc>
          <w:tcPr>
            <w:tcW w:type="dxa" w:w="18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Individual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creators</w:t>
            </w:r>
          </w:p>
        </w:tc>
        <w:tc>
          <w:tcPr>
            <w:tcW w:type="dxa" w:w="19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Active working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writers</w:t>
            </w:r>
          </w:p>
        </w:tc>
        <w:tc>
          <w:tcPr>
            <w:tcW w:type="dxa" w:w="21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Power users</w:t>
            </w:r>
          </w:p>
        </w:tc>
        <w:tc>
          <w:tcPr>
            <w:tcW w:type="dxa" w:w="34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Career writers who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want the room</w:t>
            </w:r>
          </w:p>
        </w:tc>
      </w:tr>
      <w:tr>
        <w:tc>
          <w:tcPr>
            <w:tcW w:type="dxa" w:w="2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Enhancement Runs</w:t>
            </w:r>
          </w:p>
        </w:tc>
        <w:tc>
          <w:tcPr>
            <w:tcW w:type="dxa" w:w="17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 total</w:t>
            </w:r>
          </w:p>
        </w:tc>
        <w:tc>
          <w:tcPr>
            <w:tcW w:type="dxa" w:w="18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5 / mo</w:t>
            </w:r>
          </w:p>
        </w:tc>
        <w:tc>
          <w:tcPr>
            <w:tcW w:type="dxa" w:w="19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10 / mo</w:t>
            </w:r>
          </w:p>
        </w:tc>
        <w:tc>
          <w:tcPr>
            <w:tcW w:type="dxa" w:w="21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20 / mo</w:t>
            </w:r>
          </w:p>
        </w:tc>
        <w:tc>
          <w:tcPr>
            <w:tcW w:type="dxa" w:w="34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25 / mo</w:t>
            </w:r>
          </w:p>
        </w:tc>
      </w:tr>
      <w:tr>
        <w:tc>
          <w:tcPr>
            <w:tcW w:type="dxa" w:w="2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Coverage Runs</w:t>
            </w:r>
          </w:p>
        </w:tc>
        <w:tc>
          <w:tcPr>
            <w:tcW w:type="dxa" w:w="17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 total</w:t>
            </w:r>
          </w:p>
        </w:tc>
        <w:tc>
          <w:tcPr>
            <w:tcW w:type="dxa" w:w="18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4 / mo</w:t>
            </w:r>
          </w:p>
        </w:tc>
        <w:tc>
          <w:tcPr>
            <w:tcW w:type="dxa" w:w="19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8 / mo</w:t>
            </w:r>
          </w:p>
        </w:tc>
        <w:tc>
          <w:tcPr>
            <w:tcW w:type="dxa" w:w="21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16 / mo</w:t>
            </w:r>
          </w:p>
        </w:tc>
        <w:tc>
          <w:tcPr>
            <w:tcW w:type="dxa" w:w="34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20 / mo</w:t>
            </w:r>
          </w:p>
        </w:tc>
      </w:tr>
      <w:tr>
        <w:tc>
          <w:tcPr>
            <w:tcW w:type="dxa" w:w="2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Convert Runs</w:t>
            </w:r>
          </w:p>
        </w:tc>
        <w:tc>
          <w:tcPr>
            <w:tcW w:type="dxa" w:w="17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A32D2D"/>
                <w:sz w:val="16"/>
                <w:szCs w:val="16"/>
              </w:rPr>
              <w:t xml:space="preserve">Locked</w:t>
            </w:r>
          </w:p>
        </w:tc>
        <w:tc>
          <w:tcPr>
            <w:tcW w:type="dxa" w:w="18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 / mo</w:t>
            </w:r>
          </w:p>
        </w:tc>
        <w:tc>
          <w:tcPr>
            <w:tcW w:type="dxa" w:w="19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5 / mo</w:t>
            </w:r>
          </w:p>
        </w:tc>
        <w:tc>
          <w:tcPr>
            <w:tcW w:type="dxa" w:w="21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12 / mo</w:t>
            </w:r>
          </w:p>
        </w:tc>
        <w:tc>
          <w:tcPr>
            <w:tcW w:type="dxa" w:w="34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15 / mo</w:t>
            </w:r>
          </w:p>
        </w:tc>
      </w:tr>
      <w:tr>
        <w:tc>
          <w:tcPr>
            <w:tcW w:type="dxa" w:w="2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Draft Runs</w:t>
            </w:r>
          </w:p>
        </w:tc>
        <w:tc>
          <w:tcPr>
            <w:tcW w:type="dxa" w:w="17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 total</w:t>
            </w:r>
          </w:p>
        </w:tc>
        <w:tc>
          <w:tcPr>
            <w:tcW w:type="dxa" w:w="18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10 / mo</w:t>
            </w:r>
          </w:p>
        </w:tc>
        <w:tc>
          <w:tcPr>
            <w:tcW w:type="dxa" w:w="19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25 / mo</w:t>
            </w:r>
          </w:p>
        </w:tc>
        <w:tc>
          <w:tcPr>
            <w:tcW w:type="dxa" w:w="21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60 / mo</w:t>
            </w:r>
          </w:p>
        </w:tc>
        <w:tc>
          <w:tcPr>
            <w:tcW w:type="dxa" w:w="34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75 / mo</w:t>
            </w:r>
          </w:p>
        </w:tc>
      </w:tr>
      <w:tr>
        <w:tc>
          <w:tcPr>
            <w:tcW w:type="dxa" w:w="2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Revise Runs</w:t>
            </w:r>
          </w:p>
        </w:tc>
        <w:tc>
          <w:tcPr>
            <w:tcW w:type="dxa" w:w="17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A32D2D"/>
                <w:sz w:val="16"/>
                <w:szCs w:val="16"/>
              </w:rPr>
              <w:t xml:space="preserve">Locked</w:t>
            </w:r>
          </w:p>
        </w:tc>
        <w:tc>
          <w:tcPr>
            <w:tcW w:type="dxa" w:w="18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3 / mo</w:t>
            </w:r>
          </w:p>
        </w:tc>
        <w:tc>
          <w:tcPr>
            <w:tcW w:type="dxa" w:w="19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8 / mo</w:t>
            </w:r>
          </w:p>
        </w:tc>
        <w:tc>
          <w:tcPr>
            <w:tcW w:type="dxa" w:w="21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20 / mo</w:t>
            </w:r>
          </w:p>
        </w:tc>
        <w:tc>
          <w:tcPr>
            <w:tcW w:type="dxa" w:w="34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25 / mo</w:t>
            </w:r>
          </w:p>
        </w:tc>
      </w:tr>
      <w:tr>
        <w:tc>
          <w:tcPr>
            <w:tcW w:type="dxa" w:w="2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Pitch &amp; Package Docs</w:t>
            </w:r>
          </w:p>
        </w:tc>
        <w:tc>
          <w:tcPr>
            <w:tcW w:type="dxa" w:w="17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A32D2D"/>
                <w:sz w:val="16"/>
                <w:szCs w:val="16"/>
              </w:rPr>
              <w:t xml:space="preserve">Locked</w:t>
            </w:r>
          </w:p>
        </w:tc>
        <w:tc>
          <w:tcPr>
            <w:tcW w:type="dxa" w:w="18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3 / mo</w:t>
            </w:r>
          </w:p>
        </w:tc>
        <w:tc>
          <w:tcPr>
            <w:tcW w:type="dxa" w:w="19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8 / mo</w:t>
            </w:r>
          </w:p>
        </w:tc>
        <w:tc>
          <w:tcPr>
            <w:tcW w:type="dxa" w:w="21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20 / mo</w:t>
            </w:r>
          </w:p>
        </w:tc>
        <w:tc>
          <w:tcPr>
            <w:tcW w:type="dxa" w:w="34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25 / mo</w:t>
            </w:r>
          </w:p>
        </w:tc>
      </w:tr>
      <w:tr>
        <w:tc>
          <w:tcPr>
            <w:tcW w:type="dxa" w:w="2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Ask Cooper™</w:t>
            </w:r>
          </w:p>
        </w:tc>
        <w:tc>
          <w:tcPr>
            <w:tcW w:type="dxa" w:w="17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25 total</w:t>
            </w:r>
          </w:p>
        </w:tc>
        <w:tc>
          <w:tcPr>
            <w:tcW w:type="dxa" w:w="18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150 / mo</w:t>
            </w:r>
          </w:p>
        </w:tc>
        <w:tc>
          <w:tcPr>
            <w:tcW w:type="dxa" w:w="19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600 / mo</w:t>
            </w:r>
          </w:p>
        </w:tc>
        <w:tc>
          <w:tcPr>
            <w:tcW w:type="dxa" w:w="21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2,000 / mo</w:t>
            </w:r>
          </w:p>
        </w:tc>
        <w:tc>
          <w:tcPr>
            <w:tcW w:type="dxa" w:w="34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2,500 / mo</w:t>
            </w:r>
          </w:p>
        </w:tc>
      </w:tr>
      <w:tr>
        <w:tc>
          <w:tcPr>
            <w:tcW w:type="dxa" w:w="2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Hit List (~500 buyers)</w:t>
            </w:r>
          </w:p>
        </w:tc>
        <w:tc>
          <w:tcPr>
            <w:tcW w:type="dxa" w:w="17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A32D2D"/>
                <w:sz w:val="16"/>
                <w:szCs w:val="16"/>
              </w:rPr>
              <w:t xml:space="preserve">Locked</w:t>
            </w:r>
          </w:p>
        </w:tc>
        <w:tc>
          <w:tcPr>
            <w:tcW w:type="dxa" w:w="18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Top 3 preview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3 unlocks / mo</w:t>
            </w:r>
          </w:p>
        </w:tc>
        <w:tc>
          <w:tcPr>
            <w:tcW w:type="dxa" w:w="19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Top 10 preview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10 unlocks / mo</w:t>
            </w:r>
          </w:p>
        </w:tc>
        <w:tc>
          <w:tcPr>
            <w:tcW w:type="dxa" w:w="21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Ranked preview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50 unlocks / mo</w:t>
            </w:r>
          </w:p>
        </w:tc>
        <w:tc>
          <w:tcPr>
            <w:tcW w:type="dxa" w:w="34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Ranked preview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100 unlocks / mo</w:t>
            </w:r>
          </w:p>
        </w:tc>
      </w:tr>
      <w:tr>
        <w:tc>
          <w:tcPr>
            <w:tcW w:type="dxa" w:w="2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Clean exports</w:t>
            </w:r>
          </w:p>
        </w:tc>
        <w:tc>
          <w:tcPr>
            <w:tcW w:type="dxa" w:w="17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A32D2D"/>
                <w:sz w:val="16"/>
                <w:szCs w:val="16"/>
              </w:rPr>
              <w:t xml:space="preserve">Watermark only</w:t>
            </w:r>
          </w:p>
        </w:tc>
        <w:tc>
          <w:tcPr>
            <w:tcW w:type="dxa" w:w="18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5 / mo</w:t>
            </w:r>
          </w:p>
        </w:tc>
        <w:tc>
          <w:tcPr>
            <w:tcW w:type="dxa" w:w="19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20 / mo</w:t>
            </w:r>
          </w:p>
        </w:tc>
        <w:tc>
          <w:tcPr>
            <w:tcW w:type="dxa" w:w="21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60 / mo</w:t>
            </w:r>
          </w:p>
        </w:tc>
        <w:tc>
          <w:tcPr>
            <w:tcW w:type="dxa" w:w="34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75 / mo</w:t>
            </w:r>
          </w:p>
        </w:tc>
      </w:tr>
      <w:tr>
        <w:tc>
          <w:tcPr>
            <w:tcW w:type="dxa" w:w="2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Active projects</w:t>
            </w:r>
          </w:p>
        </w:tc>
        <w:tc>
          <w:tcPr>
            <w:tcW w:type="dxa" w:w="17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</w:t>
            </w:r>
          </w:p>
        </w:tc>
        <w:tc>
          <w:tcPr>
            <w:tcW w:type="dxa" w:w="18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3</w:t>
            </w:r>
          </w:p>
        </w:tc>
        <w:tc>
          <w:tcPr>
            <w:tcW w:type="dxa" w:w="19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10</w:t>
            </w:r>
          </w:p>
        </w:tc>
        <w:tc>
          <w:tcPr>
            <w:tcW w:type="dxa" w:w="21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30</w:t>
            </w:r>
          </w:p>
        </w:tc>
        <w:tc>
          <w:tcPr>
            <w:tcW w:type="dxa" w:w="34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38</w:t>
            </w:r>
          </w:p>
        </w:tc>
      </w:tr>
      <w:tr>
        <w:tc>
          <w:tcPr>
            <w:tcW w:type="dxa" w:w="2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Source DNA Lock™</w:t>
            </w:r>
          </w:p>
        </w:tc>
        <w:tc>
          <w:tcPr>
            <w:tcW w:type="dxa" w:w="17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</w:t>
            </w:r>
          </w:p>
        </w:tc>
        <w:tc>
          <w:tcPr>
            <w:tcW w:type="dxa" w:w="18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</w:t>
            </w:r>
          </w:p>
        </w:tc>
        <w:tc>
          <w:tcPr>
            <w:tcW w:type="dxa" w:w="19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3</w:t>
            </w:r>
          </w:p>
        </w:tc>
        <w:tc>
          <w:tcPr>
            <w:tcW w:type="dxa" w:w="21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10</w:t>
            </w:r>
          </w:p>
        </w:tc>
        <w:tc>
          <w:tcPr>
            <w:tcW w:type="dxa" w:w="34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13</w:t>
            </w:r>
          </w:p>
        </w:tc>
      </w:tr>
      <w:tr>
        <w:tc>
          <w:tcPr>
            <w:tcW w:type="dxa" w:w="2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Pipeline access</w:t>
            </w:r>
          </w:p>
        </w:tc>
        <w:tc>
          <w:tcPr>
            <w:tcW w:type="dxa" w:w="17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Stages 1–4</w:t>
            </w:r>
          </w:p>
        </w:tc>
        <w:tc>
          <w:tcPr>
            <w:tcW w:type="dxa" w:w="18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Stages 1–5</w:t>
            </w:r>
          </w:p>
        </w:tc>
        <w:tc>
          <w:tcPr>
            <w:tcW w:type="dxa" w:w="19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All 9 stages</w:t>
            </w:r>
          </w:p>
        </w:tc>
        <w:tc>
          <w:tcPr>
            <w:tcW w:type="dxa" w:w="21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All 9 stages</w:t>
            </w:r>
          </w:p>
        </w:tc>
        <w:tc>
          <w:tcPr>
            <w:tcW w:type="dxa" w:w="34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All 9 stages</w:t>
            </w:r>
          </w:p>
        </w:tc>
      </w:tr>
      <w:tr>
        <w:tc>
          <w:tcPr>
            <w:tcW w:type="dxa" w:w="2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Monthly office hours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with Lorisa</w:t>
            </w:r>
          </w:p>
        </w:tc>
        <w:tc>
          <w:tcPr>
            <w:tcW w:type="dxa" w:w="17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A32D2D"/>
                <w:sz w:val="16"/>
                <w:szCs w:val="16"/>
              </w:rPr>
              <w:t xml:space="preserve">—</w:t>
            </w:r>
          </w:p>
        </w:tc>
        <w:tc>
          <w:tcPr>
            <w:tcW w:type="dxa" w:w="18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A32D2D"/>
                <w:sz w:val="16"/>
                <w:szCs w:val="16"/>
              </w:rPr>
              <w:t xml:space="preserve">—</w:t>
            </w:r>
          </w:p>
        </w:tc>
        <w:tc>
          <w:tcPr>
            <w:tcW w:type="dxa" w:w="19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A32D2D"/>
                <w:sz w:val="16"/>
                <w:szCs w:val="16"/>
              </w:rPr>
              <w:t xml:space="preserve">—</w:t>
            </w:r>
          </w:p>
        </w:tc>
        <w:tc>
          <w:tcPr>
            <w:tcW w:type="dxa" w:w="21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A32D2D"/>
                <w:sz w:val="16"/>
                <w:szCs w:val="16"/>
              </w:rPr>
              <w:t xml:space="preserve">—</w:t>
            </w:r>
          </w:p>
        </w:tc>
        <w:tc>
          <w:tcPr>
            <w:tcW w:type="dxa" w:w="34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✓ Live + recorded</w:t>
            </w:r>
          </w:p>
        </w:tc>
      </w:tr>
      <w:tr>
        <w:tc>
          <w:tcPr>
            <w:tcW w:type="dxa" w:w="2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Private community</w:t>
            </w:r>
          </w:p>
        </w:tc>
        <w:tc>
          <w:tcPr>
            <w:tcW w:type="dxa" w:w="17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A32D2D"/>
                <w:sz w:val="16"/>
                <w:szCs w:val="16"/>
              </w:rPr>
              <w:t xml:space="preserve">—</w:t>
            </w:r>
          </w:p>
        </w:tc>
        <w:tc>
          <w:tcPr>
            <w:tcW w:type="dxa" w:w="18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A32D2D"/>
                <w:sz w:val="16"/>
                <w:szCs w:val="16"/>
              </w:rPr>
              <w:t xml:space="preserve">—</w:t>
            </w:r>
          </w:p>
        </w:tc>
        <w:tc>
          <w:tcPr>
            <w:tcW w:type="dxa" w:w="19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A32D2D"/>
                <w:sz w:val="16"/>
                <w:szCs w:val="16"/>
              </w:rPr>
              <w:t xml:space="preserve">—</w:t>
            </w:r>
          </w:p>
        </w:tc>
        <w:tc>
          <w:tcPr>
            <w:tcW w:type="dxa" w:w="21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A32D2D"/>
                <w:sz w:val="16"/>
                <w:szCs w:val="16"/>
              </w:rPr>
              <w:t xml:space="preserve">—</w:t>
            </w:r>
          </w:p>
        </w:tc>
        <w:tc>
          <w:tcPr>
            <w:tcW w:type="dxa" w:w="34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✓ Members + founder</w:t>
            </w:r>
          </w:p>
        </w:tc>
      </w:tr>
      <w:tr>
        <w:tc>
          <w:tcPr>
            <w:tcW w:type="dxa" w:w="2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Early product access</w:t>
            </w:r>
          </w:p>
        </w:tc>
        <w:tc>
          <w:tcPr>
            <w:tcW w:type="dxa" w:w="17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A32D2D"/>
                <w:sz w:val="16"/>
                <w:szCs w:val="16"/>
              </w:rPr>
              <w:t xml:space="preserve">—</w:t>
            </w:r>
          </w:p>
        </w:tc>
        <w:tc>
          <w:tcPr>
            <w:tcW w:type="dxa" w:w="18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A32D2D"/>
                <w:sz w:val="16"/>
                <w:szCs w:val="16"/>
              </w:rPr>
              <w:t xml:space="preserve">—</w:t>
            </w:r>
          </w:p>
        </w:tc>
        <w:tc>
          <w:tcPr>
            <w:tcW w:type="dxa" w:w="19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A32D2D"/>
                <w:sz w:val="16"/>
                <w:szCs w:val="16"/>
              </w:rPr>
              <w:t xml:space="preserve">—</w:t>
            </w:r>
          </w:p>
        </w:tc>
        <w:tc>
          <w:tcPr>
            <w:tcW w:type="dxa" w:w="21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A32D2D"/>
                <w:sz w:val="16"/>
                <w:szCs w:val="16"/>
              </w:rPr>
              <w:t xml:space="preserve">—</w:t>
            </w:r>
          </w:p>
        </w:tc>
        <w:tc>
          <w:tcPr>
            <w:tcW w:type="dxa" w:w="34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✓</w:t>
            </w:r>
          </w:p>
        </w:tc>
      </w:tr>
      <w:tr>
        <w:tc>
          <w:tcPr>
            <w:tcW w:type="dxa" w:w="2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Support</w:t>
            </w:r>
          </w:p>
        </w:tc>
        <w:tc>
          <w:tcPr>
            <w:tcW w:type="dxa" w:w="17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Email</w:t>
            </w:r>
          </w:p>
        </w:tc>
        <w:tc>
          <w:tcPr>
            <w:tcW w:type="dxa" w:w="18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Email</w:t>
            </w:r>
          </w:p>
        </w:tc>
        <w:tc>
          <w:tcPr>
            <w:tcW w:type="dxa" w:w="19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Priority</w:t>
            </w:r>
          </w:p>
        </w:tc>
        <w:tc>
          <w:tcPr>
            <w:tcW w:type="dxa" w:w="21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Priority +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onboarding</w:t>
            </w:r>
          </w:p>
        </w:tc>
        <w:tc>
          <w:tcPr>
            <w:tcW w:type="dxa" w:w="34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Priority + monthly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office hours</w:t>
            </w:r>
          </w:p>
        </w:tc>
      </w:tr>
    </w:tbl>
    <w:p>
      <w:pPr>
        <w:spacing w:after="80" w:before="0"/>
      </w:pPr>
      <w:r>
        <w:rPr>
          <w:rFonts w:ascii="Calibri" w:cs="Calibri" w:eastAsia="Calibri" w:hAnsi="Calibri"/>
          <w:color w:val="20242E"/>
          <w:sz w:val="19"/>
          <w:szCs w:val="19"/>
        </w:rPr>
        <w:t xml:space="preserve"/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5C5A52"/>
          <w:sz w:val="17"/>
          <w:szCs w:val="17"/>
        </w:rPr>
        <w:t xml:space="preserve">Trial: 7 days, credit card required. Three walls convert — no clean export (the work can’t be used), Hit List locked (buyers named but unreachable), and the pipeline stops at Stage 4, just before Convert, where the transformation lands.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5C5A52"/>
          <w:sz w:val="17"/>
          <w:szCs w:val="17"/>
        </w:rPr>
        <w:t xml:space="preserve">The Hit List is a product, not a perk. Every tier gets a ranked preview and a monthly unlock allowance — from 3 at Starter to 100 at Founder’s Circle. Nobody gets the full ~500-entity list included. If you want all of it, with unlimited unlocks, full contact detail, and the monthly Who’s Buying newsletter, you buy Full Hit List Access at $19/mo. That makes every paying customer — including Founder’s Circle members — a candidate for it, and it runs 97–99% margin.</w:t>
      </w:r>
    </w:p>
    <w:p>
      <w:pPr>
        <w:spacing w:after="180" w:before="0"/>
      </w:pPr>
      <w:r>
        <w:rPr>
          <w:rFonts w:ascii="Calibri" w:cs="Calibri" w:eastAsia="Calibri" w:hAnsi="Calibri"/>
          <w:i/>
          <w:iCs/>
          <w:color w:val="5C5A52"/>
          <w:sz w:val="17"/>
          <w:szCs w:val="17"/>
        </w:rPr>
        <w:t xml:space="preserve">Founder’s Circle replaces the former Elite lifetime deal. It is $1,997 per YEAR, recurring — not one-time. Its tool limits are Premium Pro +25% across every counter — generous, but never unlimited. Nothing in this product line is unlimited. The real value is the access: monthly office hours with Lorisa (live, Zoom, recorded), a private member community, and early access to new B-Ville products. Premium Pro is $1,200/yr for the tools; Founder’s Circle adds roughly $66/month for direct contact with a 30-year BET and Showtime executive. No competitor can copy that.</w:t>
      </w:r>
    </w:p>
    <w:p>
      <w:pPr>
        <w:pStyle w:val="Heading1"/>
        <w:spacing w:after="140" w:before="300"/>
      </w:pPr>
      <w:r>
        <w:rPr>
          <w:rFonts w:ascii="Georgia" w:cs="Georgia" w:eastAsia="Georgia" w:hAnsi="Georgia"/>
          <w:b/>
          <w:bCs/>
          <w:color w:val="15203A"/>
          <w:sz w:val="28"/>
          <w:szCs w:val="28"/>
        </w:rPr>
        <w:t xml:space="preserve">Appendix — what each counter includes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600"/>
        <w:gridCol w:w="10800"/>
      </w:tblGrid>
      <w:tr>
        <w:trPr>
          <w:tblHeader/>
        </w:trPr>
        <w:tc>
          <w:tcPr>
            <w:tcW w:type="dxa" w:w="2600"/>
            <w:shd w:fill="8A6526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Counter</w:t>
            </w:r>
          </w:p>
        </w:tc>
        <w:tc>
          <w:tcPr>
            <w:tcW w:type="dxa" w:w="10800"/>
            <w:shd w:fill="8A6526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Every feature it covers</w:t>
            </w:r>
          </w:p>
        </w:tc>
      </w:tr>
      <w:tr>
        <w:tc>
          <w:tcPr>
            <w:tcW w:type="dxa" w:w="26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Enhancement Run</w:t>
            </w:r>
          </w:p>
        </w:tc>
        <w:tc>
          <w:tcPr>
            <w:tcW w:type="dxa" w:w="108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Deep Enhancement Analysis · Apply All Quick Wins (1 run, not 12) · Script Fix / Get AI Fix · More Suggestions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/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FREE, never counted: individual Apply Fix, script regeneration, version restore</w:t>
            </w:r>
          </w:p>
        </w:tc>
      </w:tr>
      <w:tr>
        <w:tc>
          <w:tcPr>
            <w:tcW w:type="dxa" w:w="26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Coverage Run</w:t>
            </w:r>
          </w:p>
        </w:tc>
        <w:tc>
          <w:tcPr>
            <w:tcW w:type="dxa" w:w="108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Script Analysis · Enhanced Script Analysis · Festival Coverage · Book Analysis · Micro-Drama Analyzer · Series Diagnostic · Stage 2 Creative Evaluation · Stage 6 Coverage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/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FREE scorers, never counted: Festival fit · Format compliance · Brand filter · Revision diff</w:t>
            </w:r>
          </w:p>
        </w:tc>
      </w:tr>
      <w:tr>
        <w:tc>
          <w:tcPr>
            <w:tcW w:type="dxa" w:w="26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Convert Run</w:t>
            </w:r>
          </w:p>
        </w:tc>
        <w:tc>
          <w:tcPr>
            <w:tcW w:type="dxa" w:w="108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The one-time transformation. Treatment · Beat Sheet · Story Structure (3-Act / 15-Beat) · Adaptation Map · Convert to Script · Episode Scripts · Micro-Drama conversion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/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Series conversion: each episode counts as its own Convert Run.</w:t>
            </w:r>
          </w:p>
        </w:tc>
      </w:tr>
      <w:tr>
        <w:tc>
          <w:tcPr>
            <w:tcW w:type="dxa" w:w="26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Draft Run</w:t>
            </w:r>
          </w:p>
        </w:tc>
        <w:tc>
          <w:tcPr>
            <w:tcW w:type="dxa" w:w="108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Every generate, modify, or export inside LAUNCH DRAFT (Stage 5). Covers all three workspaces it opens: Script Editor · Series Manager · Micro-Drama Editor.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/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Opening Launch Draft is FREE — the stage itself makes no AI call.</w:t>
            </w:r>
          </w:p>
        </w:tc>
      </w:tr>
      <w:tr>
        <w:tc>
          <w:tcPr>
            <w:tcW w:type="dxa" w:w="26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Revise Run</w:t>
            </w:r>
          </w:p>
        </w:tc>
        <w:tc>
          <w:tcPr>
            <w:tcW w:type="dxa" w:w="108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One Refine click = 1 Revise Run, covering up to all 3 documents (Treatment, Beat Sheet, Expanded Beat Sheet). Aggregates every analysis on the project — plus optional Brand Match insights — and applies them into a refined version with a full diff and score impact.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/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Includes 2 FREE regenerates. The 3rd regenerate and beyond consumes another Revise Run. Regenerate All counts as one regenerate, not one per document.</w:t>
            </w:r>
          </w:p>
        </w:tc>
      </w:tr>
      <w:tr>
        <w:tc>
          <w:tcPr>
            <w:tcW w:type="dxa" w:w="26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Pitch &amp; Package Doc</w:t>
            </w:r>
          </w:p>
        </w:tc>
        <w:tc>
          <w:tcPr>
            <w:tcW w:type="dxa" w:w="108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Pitch Deck · Pitch Documents (all 6 sections = 1 doc) · Character Breakdown · Brief (pitch deck or lookbook) · Analysis Report · Marketing Strategy Coverage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/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One generation = one doc, however many sections it contains.</w:t>
            </w:r>
          </w:p>
        </w:tc>
      </w:tr>
    </w:tbl>
    <w:p>
      <w:pPr>
        <w:spacing w:after="80" w:before="0"/>
      </w:pPr>
      <w:r>
        <w:rPr>
          <w:rFonts w:ascii="Calibri" w:cs="Calibri" w:eastAsia="Calibri" w:hAnsi="Calibri"/>
          <w:color w:val="20242E"/>
          <w:sz w:val="19"/>
          <w:szCs w:val="19"/>
        </w:rPr>
        <w:t xml:space="preserve"/>
      </w:r>
    </w:p>
    <w:p>
      <w:pPr>
        <w:spacing w:after="180" w:before="0"/>
      </w:pPr>
      <w:r>
        <w:rPr>
          <w:rFonts w:ascii="Calibri" w:cs="Calibri" w:eastAsia="Calibri" w:hAnsi="Calibri"/>
          <w:i/>
          <w:iCs/>
          <w:color w:val="5C5A52"/>
          <w:sz w:val="17"/>
          <w:szCs w:val="17"/>
        </w:rPr>
        <w:t xml:space="preserve">Counting principle: one button click = one run, however much work it does behind it. Apply All Quick Wins is a single Enhancement Run, not twelve. Individual fixes are free — a writer should never be charged for improving their own script.</w:t>
      </w:r>
    </w:p>
    <w:p>
      <w:pPr>
        <w:pStyle w:val="Heading1"/>
        <w:spacing w:after="140" w:before="300"/>
      </w:pPr>
      <w:r>
        <w:rPr>
          <w:rFonts w:ascii="Georgia" w:cs="Georgia" w:eastAsia="Georgia" w:hAnsi="Georgia"/>
          <w:b/>
          <w:bCs/>
          <w:color w:val="15203A"/>
          <w:sz w:val="28"/>
          <w:szCs w:val="28"/>
        </w:rPr>
        <w:t xml:space="preserve">Business Pro — B2B</w:t>
      </w:r>
    </w:p>
    <w:p>
      <w:pPr>
        <w:spacing w:after="100" w:before="0"/>
      </w:pPr>
      <w:r>
        <w:rPr>
          <w:rFonts w:ascii="Calibri" w:cs="Calibri" w:eastAsia="Calibri" w:hAnsi="Calibri"/>
          <w:color w:val="5C5A52"/>
          <w:sz w:val="17"/>
          <w:szCs w:val="17"/>
        </w:rPr>
        <w:t xml:space="preserve">Production companies, publishers, and studios. Seat-based. Launches October 2026.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300"/>
        <w:gridCol w:w="3350"/>
        <w:gridCol w:w="3350"/>
        <w:gridCol w:w="3400"/>
      </w:tblGrid>
      <w:tr>
        <w:trPr>
          <w:tblHeader/>
        </w:trPr>
        <w:tc>
          <w:tcPr>
            <w:tcW w:type="dxa" w:w="330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335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Studio</w:t>
            </w:r>
          </w:p>
        </w:tc>
        <w:tc>
          <w:tcPr>
            <w:tcW w:type="dxa" w:w="335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Pro</w:t>
            </w:r>
          </w:p>
        </w:tc>
        <w:tc>
          <w:tcPr>
            <w:tcW w:type="dxa" w:w="340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Enterprise</w:t>
            </w:r>
          </w:p>
        </w:tc>
      </w:tr>
      <w:tr>
        <w:tc>
          <w:tcPr>
            <w:tcW w:type="dxa" w:w="33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MONTHLY</w:t>
            </w:r>
          </w:p>
        </w:tc>
        <w:tc>
          <w:tcPr>
            <w:tcW w:type="dxa" w:w="3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$299 / mo</w:t>
            </w:r>
          </w:p>
        </w:tc>
        <w:tc>
          <w:tcPr>
            <w:tcW w:type="dxa" w:w="3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$499 / mo</w:t>
            </w:r>
          </w:p>
        </w:tc>
        <w:tc>
          <w:tcPr>
            <w:tcW w:type="dxa" w:w="34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$999 / mo</w:t>
            </w:r>
          </w:p>
        </w:tc>
      </w:tr>
      <w:tr>
        <w:tc>
          <w:tcPr>
            <w:tcW w:type="dxa" w:w="33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ANNUAL (save 20%)</w:t>
            </w:r>
          </w:p>
        </w:tc>
        <w:tc>
          <w:tcPr>
            <w:tcW w:type="dxa" w:w="3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$2,870 / yr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($239 / mo)</w:t>
            </w:r>
          </w:p>
        </w:tc>
        <w:tc>
          <w:tcPr>
            <w:tcW w:type="dxa" w:w="3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$4,790 / yr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($399 / mo)</w:t>
            </w:r>
          </w:p>
        </w:tc>
        <w:tc>
          <w:tcPr>
            <w:tcW w:type="dxa" w:w="34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$9,590 / yr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($799 / mo)</w:t>
            </w:r>
          </w:p>
        </w:tc>
      </w:tr>
      <w:tr>
        <w:tc>
          <w:tcPr>
            <w:tcW w:type="dxa" w:w="33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Who it's for</w:t>
            </w:r>
          </w:p>
        </w:tc>
        <w:tc>
          <w:tcPr>
            <w:tcW w:type="dxa" w:w="3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Boutique / indie</w:t>
            </w:r>
          </w:p>
        </w:tc>
        <w:tc>
          <w:tcPr>
            <w:tcW w:type="dxa" w:w="3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Growing shop</w:t>
            </w:r>
          </w:p>
        </w:tc>
        <w:tc>
          <w:tcPr>
            <w:tcW w:type="dxa" w:w="34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Studio / streamer</w:t>
            </w:r>
          </w:p>
        </w:tc>
      </w:tr>
      <w:tr>
        <w:tc>
          <w:tcPr>
            <w:tcW w:type="dxa" w:w="33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Included seats</w:t>
            </w:r>
          </w:p>
        </w:tc>
        <w:tc>
          <w:tcPr>
            <w:tcW w:type="dxa" w:w="3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3</w:t>
            </w:r>
          </w:p>
        </w:tc>
        <w:tc>
          <w:tcPr>
            <w:tcW w:type="dxa" w:w="3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5</w:t>
            </w:r>
          </w:p>
        </w:tc>
        <w:tc>
          <w:tcPr>
            <w:tcW w:type="dxa" w:w="34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10</w:t>
            </w:r>
          </w:p>
        </w:tc>
      </w:tr>
      <w:tr>
        <w:tc>
          <w:tcPr>
            <w:tcW w:type="dxa" w:w="33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Additional seats</w:t>
            </w:r>
          </w:p>
        </w:tc>
        <w:tc>
          <w:tcPr>
            <w:tcW w:type="dxa" w:w="3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+$49 / seat</w:t>
            </w:r>
          </w:p>
        </w:tc>
        <w:tc>
          <w:tcPr>
            <w:tcW w:type="dxa" w:w="3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+$39 / seat</w:t>
            </w:r>
          </w:p>
        </w:tc>
        <w:tc>
          <w:tcPr>
            <w:tcW w:type="dxa" w:w="34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+$29 / seat</w:t>
            </w:r>
          </w:p>
        </w:tc>
      </w:tr>
      <w:tr>
        <w:tc>
          <w:tcPr>
            <w:tcW w:type="dxa" w:w="33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Enhancement Runs</w:t>
            </w:r>
          </w:p>
        </w:tc>
        <w:tc>
          <w:tcPr>
            <w:tcW w:type="dxa" w:w="3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40 / mo</w:t>
            </w:r>
          </w:p>
        </w:tc>
        <w:tc>
          <w:tcPr>
            <w:tcW w:type="dxa" w:w="3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100 / mo</w:t>
            </w:r>
          </w:p>
        </w:tc>
        <w:tc>
          <w:tcPr>
            <w:tcW w:type="dxa" w:w="34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250 / mo</w:t>
            </w:r>
          </w:p>
        </w:tc>
      </w:tr>
      <w:tr>
        <w:tc>
          <w:tcPr>
            <w:tcW w:type="dxa" w:w="33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Coverage Runs</w:t>
            </w:r>
          </w:p>
        </w:tc>
        <w:tc>
          <w:tcPr>
            <w:tcW w:type="dxa" w:w="3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60 / mo</w:t>
            </w:r>
          </w:p>
        </w:tc>
        <w:tc>
          <w:tcPr>
            <w:tcW w:type="dxa" w:w="3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150 / mo</w:t>
            </w:r>
          </w:p>
        </w:tc>
        <w:tc>
          <w:tcPr>
            <w:tcW w:type="dxa" w:w="34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400 / mo</w:t>
            </w:r>
          </w:p>
        </w:tc>
      </w:tr>
      <w:tr>
        <w:tc>
          <w:tcPr>
            <w:tcW w:type="dxa" w:w="33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Convert Runs</w:t>
            </w:r>
          </w:p>
        </w:tc>
        <w:tc>
          <w:tcPr>
            <w:tcW w:type="dxa" w:w="3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30 / mo</w:t>
            </w:r>
          </w:p>
        </w:tc>
        <w:tc>
          <w:tcPr>
            <w:tcW w:type="dxa" w:w="3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75 / mo</w:t>
            </w:r>
          </w:p>
        </w:tc>
        <w:tc>
          <w:tcPr>
            <w:tcW w:type="dxa" w:w="34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180 / mo</w:t>
            </w:r>
          </w:p>
        </w:tc>
      </w:tr>
      <w:tr>
        <w:tc>
          <w:tcPr>
            <w:tcW w:type="dxa" w:w="33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Draft Runs</w:t>
            </w:r>
          </w:p>
        </w:tc>
        <w:tc>
          <w:tcPr>
            <w:tcW w:type="dxa" w:w="3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100 / mo</w:t>
            </w:r>
          </w:p>
        </w:tc>
        <w:tc>
          <w:tcPr>
            <w:tcW w:type="dxa" w:w="3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250 / mo</w:t>
            </w:r>
          </w:p>
        </w:tc>
        <w:tc>
          <w:tcPr>
            <w:tcW w:type="dxa" w:w="34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600 / mo</w:t>
            </w:r>
          </w:p>
        </w:tc>
      </w:tr>
      <w:tr>
        <w:tc>
          <w:tcPr>
            <w:tcW w:type="dxa" w:w="33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Revise Runs</w:t>
            </w:r>
          </w:p>
        </w:tc>
        <w:tc>
          <w:tcPr>
            <w:tcW w:type="dxa" w:w="3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40 / mo</w:t>
            </w:r>
          </w:p>
        </w:tc>
        <w:tc>
          <w:tcPr>
            <w:tcW w:type="dxa" w:w="3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100 / mo</w:t>
            </w:r>
          </w:p>
        </w:tc>
        <w:tc>
          <w:tcPr>
            <w:tcW w:type="dxa" w:w="34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250 / mo</w:t>
            </w:r>
          </w:p>
        </w:tc>
      </w:tr>
      <w:tr>
        <w:tc>
          <w:tcPr>
            <w:tcW w:type="dxa" w:w="33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Pitch &amp; Package Docs</w:t>
            </w:r>
          </w:p>
        </w:tc>
        <w:tc>
          <w:tcPr>
            <w:tcW w:type="dxa" w:w="3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50 / mo</w:t>
            </w:r>
          </w:p>
        </w:tc>
        <w:tc>
          <w:tcPr>
            <w:tcW w:type="dxa" w:w="3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125 / mo</w:t>
            </w:r>
          </w:p>
        </w:tc>
        <w:tc>
          <w:tcPr>
            <w:tcW w:type="dxa" w:w="34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300 / mo</w:t>
            </w:r>
          </w:p>
        </w:tc>
      </w:tr>
      <w:tr>
        <w:tc>
          <w:tcPr>
            <w:tcW w:type="dxa" w:w="33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Ask Cooper™</w:t>
            </w:r>
          </w:p>
        </w:tc>
        <w:tc>
          <w:tcPr>
            <w:tcW w:type="dxa" w:w="3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4,000 / mo</w:t>
            </w:r>
          </w:p>
        </w:tc>
        <w:tc>
          <w:tcPr>
            <w:tcW w:type="dxa" w:w="3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10,000 / mo</w:t>
            </w:r>
          </w:p>
        </w:tc>
        <w:tc>
          <w:tcPr>
            <w:tcW w:type="dxa" w:w="34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25,000 / mo</w:t>
            </w:r>
          </w:p>
        </w:tc>
      </w:tr>
      <w:tr>
        <w:tc>
          <w:tcPr>
            <w:tcW w:type="dxa" w:w="33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Hit List unlocks</w:t>
            </w:r>
          </w:p>
        </w:tc>
        <w:tc>
          <w:tcPr>
            <w:tcW w:type="dxa" w:w="3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150 / mo</w:t>
            </w:r>
          </w:p>
        </w:tc>
        <w:tc>
          <w:tcPr>
            <w:tcW w:type="dxa" w:w="3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400 / mo</w:t>
            </w:r>
          </w:p>
        </w:tc>
        <w:tc>
          <w:tcPr>
            <w:tcW w:type="dxa" w:w="34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1,000 / mo</w:t>
            </w:r>
          </w:p>
        </w:tc>
      </w:tr>
      <w:tr>
        <w:tc>
          <w:tcPr>
            <w:tcW w:type="dxa" w:w="33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Active projects</w:t>
            </w:r>
          </w:p>
        </w:tc>
        <w:tc>
          <w:tcPr>
            <w:tcW w:type="dxa" w:w="3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25</w:t>
            </w:r>
          </w:p>
        </w:tc>
        <w:tc>
          <w:tcPr>
            <w:tcW w:type="dxa" w:w="3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75</w:t>
            </w:r>
          </w:p>
        </w:tc>
        <w:tc>
          <w:tcPr>
            <w:tcW w:type="dxa" w:w="34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200</w:t>
            </w:r>
          </w:p>
        </w:tc>
      </w:tr>
      <w:tr>
        <w:tc>
          <w:tcPr>
            <w:tcW w:type="dxa" w:w="33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Personas</w:t>
            </w:r>
          </w:p>
        </w:tc>
        <w:tc>
          <w:tcPr>
            <w:tcW w:type="dxa" w:w="3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1</w:t>
            </w:r>
          </w:p>
        </w:tc>
        <w:tc>
          <w:tcPr>
            <w:tcW w:type="dxa" w:w="3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All 3</w:t>
            </w:r>
          </w:p>
        </w:tc>
        <w:tc>
          <w:tcPr>
            <w:tcW w:type="dxa" w:w="34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All 3</w:t>
            </w:r>
          </w:p>
        </w:tc>
      </w:tr>
      <w:tr>
        <w:tc>
          <w:tcPr>
            <w:tcW w:type="dxa" w:w="33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Production Budget</w:t>
            </w:r>
          </w:p>
        </w:tc>
        <w:tc>
          <w:tcPr>
            <w:tcW w:type="dxa" w:w="3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A32D2D"/>
                <w:sz w:val="16"/>
                <w:szCs w:val="16"/>
              </w:rPr>
              <w:t xml:space="preserve">—</w:t>
            </w:r>
          </w:p>
        </w:tc>
        <w:tc>
          <w:tcPr>
            <w:tcW w:type="dxa" w:w="335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Included</w:t>
            </w:r>
          </w:p>
        </w:tc>
        <w:tc>
          <w:tcPr>
            <w:tcW w:type="dxa" w:w="34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Included</w:t>
            </w:r>
          </w:p>
        </w:tc>
      </w:tr>
      <w:tr>
        <w:tc>
          <w:tcPr>
            <w:tcW w:type="dxa" w:w="33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Support</w:t>
            </w:r>
          </w:p>
        </w:tc>
        <w:tc>
          <w:tcPr>
            <w:tcW w:type="dxa" w:w="3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Priority</w:t>
            </w:r>
          </w:p>
        </w:tc>
        <w:tc>
          <w:tcPr>
            <w:tcW w:type="dxa" w:w="335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Priority</w:t>
            </w:r>
          </w:p>
        </w:tc>
        <w:tc>
          <w:tcPr>
            <w:tcW w:type="dxa" w:w="34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Dedicated CSM</w:t>
            </w:r>
          </w:p>
        </w:tc>
      </w:tr>
    </w:tbl>
    <w:p>
      <w:pPr>
        <w:spacing w:after="80" w:before="0"/>
      </w:pPr>
      <w:r>
        <w:rPr>
          <w:rFonts w:ascii="Calibri" w:cs="Calibri" w:eastAsia="Calibri" w:hAnsi="Calibri"/>
          <w:color w:val="20242E"/>
          <w:sz w:val="19"/>
          <w:szCs w:val="19"/>
        </w:rPr>
        <w:t xml:space="preserve"/>
      </w:r>
    </w:p>
    <w:p>
      <w:pPr>
        <w:spacing w:after="180" w:before="0"/>
      </w:pPr>
      <w:r>
        <w:rPr>
          <w:rFonts w:ascii="Calibri" w:cs="Calibri" w:eastAsia="Calibri" w:hAnsi="Calibri"/>
          <w:i/>
          <w:iCs/>
          <w:color w:val="5C5A52"/>
          <w:sz w:val="17"/>
          <w:szCs w:val="17"/>
        </w:rPr>
        <w:t xml:space="preserve">Limits are per account, not per seat — a Studio account with 3 seats shares 40 Enhancement Runs. This rewards teams that coordinate and creates natural pressure to upgrade as a shop grows. Three personas: Producer, Production Company, Publishing House.</w:t>
      </w:r>
    </w:p>
    <w:p>
      <w:pPr>
        <w:pStyle w:val="Heading1"/>
        <w:spacing w:after="140" w:before="300"/>
      </w:pPr>
      <w:r>
        <w:rPr>
          <w:rFonts w:ascii="Georgia" w:cs="Georgia" w:eastAsia="Georgia" w:hAnsi="Georgia"/>
          <w:b/>
          <w:bCs/>
          <w:color w:val="15203A"/>
          <w:sz w:val="28"/>
          <w:szCs w:val="28"/>
        </w:rPr>
        <w:t xml:space="preserve">Add-ons &amp; top-ups</w:t>
      </w:r>
    </w:p>
    <w:p>
      <w:pPr>
        <w:spacing w:after="120" w:before="0"/>
      </w:pPr>
      <w:r>
        <w:rPr>
          <w:rFonts w:ascii="Calibri" w:cs="Calibri" w:eastAsia="Calibri" w:hAnsi="Calibri"/>
          <w:color w:val="20242E"/>
          <w:sz w:val="19"/>
          <w:szCs w:val="19"/>
        </w:rPr>
        <w:t xml:space="preserve">A writer who runs out is never blocked. Top-up packs are mix-and-match — you buy units and spend them on whatever you actually need. Repeated overages route to a tier upgrade. Writers never see tokens, credits, or usage meters — only plain-language counts of things they recognize.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800"/>
        <w:gridCol w:w="2400"/>
        <w:gridCol w:w="7200"/>
      </w:tblGrid>
      <w:tr>
        <w:trPr>
          <w:tblHeader/>
        </w:trPr>
        <w:tc>
          <w:tcPr>
            <w:tcW w:type="dxa" w:w="3800"/>
            <w:shd w:fill="8A6526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Add-on</w:t>
            </w:r>
          </w:p>
        </w:tc>
        <w:tc>
          <w:tcPr>
            <w:tcW w:type="dxa" w:w="2400"/>
            <w:shd w:fill="8A6526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Price</w:t>
            </w:r>
          </w:p>
        </w:tc>
        <w:tc>
          <w:tcPr>
            <w:tcW w:type="dxa" w:w="7200"/>
            <w:shd w:fill="8A6526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What you get</w:t>
            </w:r>
          </w:p>
        </w:tc>
      </w:tr>
      <w:tr>
        <w:tc>
          <w:tcPr>
            <w:tcW w:type="dxa" w:w="38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FULL HIT LIST ACCESS</w:t>
            </w:r>
          </w:p>
        </w:tc>
        <w:tc>
          <w:tcPr>
            <w:tcW w:type="dxa" w:w="24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$19 / mo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$182 / yr</w:t>
            </w:r>
          </w:p>
        </w:tc>
        <w:tc>
          <w:tcPr>
            <w:tcW w:type="dxa" w:w="72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The complete ~500-entity list — every buyer, producer, and competition — with unlimited unlocks, full contact detail, and the monthly Who’s Buying newsletter. Available to every paid tier. Included in none of them: if you want the whole list, you buy it.</w:t>
            </w:r>
          </w:p>
        </w:tc>
      </w:tr>
      <w:tr>
        <w:tc>
          <w:tcPr>
            <w:tcW w:type="dxa" w:w="38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Top-Up 10-Pack</w:t>
            </w:r>
          </w:p>
        </w:tc>
        <w:tc>
          <w:tcPr>
            <w:tcW w:type="dxa" w:w="24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$15</w:t>
            </w:r>
          </w:p>
        </w:tc>
        <w:tc>
          <w:tcPr>
            <w:tcW w:type="dxa" w:w="72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Any 10 units, mix and match: Coverage · Convert · Revise · Enhancement · Pitch Doc · Draft. Spend them on whatever you actually ran out of.</w:t>
            </w:r>
          </w:p>
        </w:tc>
      </w:tr>
      <w:tr>
        <w:tc>
          <w:tcPr>
            <w:tcW w:type="dxa" w:w="38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Top-Up 25-Pack</w:t>
            </w:r>
          </w:p>
        </w:tc>
        <w:tc>
          <w:tcPr>
            <w:tcW w:type="dxa" w:w="24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$32</w:t>
            </w:r>
          </w:p>
        </w:tc>
        <w:tc>
          <w:tcPr>
            <w:tcW w:type="dxa" w:w="72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Any 25 units, same mix-and-match. Best value per unit.</w:t>
            </w:r>
          </w:p>
        </w:tc>
      </w:tr>
      <w:tr>
        <w:tc>
          <w:tcPr>
            <w:tcW w:type="dxa" w:w="38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À la carte — single unit</w:t>
            </w:r>
          </w:p>
        </w:tc>
        <w:tc>
          <w:tcPr>
            <w:tcW w:type="dxa" w:w="24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$4</w:t>
            </w:r>
          </w:p>
        </w:tc>
        <w:tc>
          <w:tcPr>
            <w:tcW w:type="dxa" w:w="72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One of anything: 1 Coverage, 1 Convert, 1 Revise, 1 Enhancement, 1 Pitch Doc, or 1 Draft.</w:t>
            </w:r>
          </w:p>
        </w:tc>
      </w:tr>
      <w:tr>
        <w:tc>
          <w:tcPr>
            <w:tcW w:type="dxa" w:w="38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+500 Ask Cooper™</w:t>
            </w:r>
          </w:p>
        </w:tc>
        <w:tc>
          <w:tcPr>
            <w:tcW w:type="dxa" w:w="24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$7</w:t>
            </w:r>
          </w:p>
        </w:tc>
        <w:tc>
          <w:tcPr>
            <w:tcW w:type="dxa" w:w="72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Extra Cooper messages for the month.</w:t>
            </w:r>
          </w:p>
        </w:tc>
      </w:tr>
      <w:tr>
        <w:tc>
          <w:tcPr>
            <w:tcW w:type="dxa" w:w="38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+10 clean exports</w:t>
            </w:r>
          </w:p>
        </w:tc>
        <w:tc>
          <w:tcPr>
            <w:tcW w:type="dxa" w:w="24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$9</w:t>
            </w:r>
          </w:p>
        </w:tc>
        <w:tc>
          <w:tcPr>
            <w:tcW w:type="dxa" w:w="72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Extra watermark-free exports.</w:t>
            </w:r>
          </w:p>
        </w:tc>
      </w:tr>
    </w:tbl>
    <w:p>
      <w:pPr>
        <w:spacing w:after="180" w:before="0"/>
      </w:pPr>
      <w:r>
        <w:rPr>
          <w:rFonts w:ascii="Calibri" w:cs="Calibri" w:eastAsia="Calibri" w:hAnsi="Calibri"/>
          <w:color w:val="20242E"/>
          <w:sz w:val="19"/>
          <w:szCs w:val="19"/>
        </w:rPr>
        <w:t xml:space="preserve"/>
      </w:r>
    </w:p>
    <w:p>
      <w:pPr>
        <w:pStyle w:val="Heading1"/>
        <w:spacing w:after="140" w:before="300"/>
      </w:pPr>
      <w:r>
        <w:rPr>
          <w:rFonts w:ascii="Georgia" w:cs="Georgia" w:eastAsia="Georgia" w:hAnsi="Georgia"/>
          <w:b/>
          <w:bCs/>
          <w:color w:val="15203A"/>
          <w:sz w:val="28"/>
          <w:szCs w:val="28"/>
        </w:rPr>
        <w:t xml:space="preserve">Margin verification</w:t>
      </w:r>
    </w:p>
    <w:p>
      <w:pPr>
        <w:spacing w:after="120" w:before="0"/>
      </w:pPr>
      <w:r>
        <w:rPr>
          <w:rFonts w:ascii="Calibri" w:cs="Calibri" w:eastAsia="Calibri" w:hAnsi="Calibri"/>
          <w:color w:val="20242E"/>
          <w:sz w:val="19"/>
          <w:szCs w:val="19"/>
        </w:rPr>
        <w:t xml:space="preserve">Computed from the live Enhancer codebase: Gemini 2.5 Flash via the Lovable AI gateway, at $0.30 per 1M input tokens and $2.50 per 1M output. Assumes a user maxes out every limit in the tier. Retry overhead uses the real observed fleet rate of 5.3% (1 retry per 19 generations, per GENERATOR_FLEET.md). Revise cost is traced to refine-documents and includes both free regenerates.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100"/>
        <w:gridCol w:w="2100"/>
        <w:gridCol w:w="2100"/>
        <w:gridCol w:w="2000"/>
        <w:gridCol w:w="2100"/>
        <w:gridCol w:w="2000"/>
      </w:tblGrid>
      <w:tr>
        <w:trPr>
          <w:tblHeader/>
        </w:trPr>
        <w:tc>
          <w:tcPr>
            <w:tcW w:type="dxa" w:w="310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Tier</w:t>
            </w:r>
          </w:p>
        </w:tc>
        <w:tc>
          <w:tcPr>
            <w:tcW w:type="dxa" w:w="210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Price</w:t>
            </w:r>
          </w:p>
        </w:tc>
        <w:tc>
          <w:tcPr>
            <w:tcW w:type="dxa" w:w="210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AI cost</w:t>
            </w:r>
          </w:p>
        </w:tc>
        <w:tc>
          <w:tcPr>
            <w:tcW w:type="dxa" w:w="200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Infra</w:t>
            </w:r>
          </w:p>
        </w:tc>
        <w:tc>
          <w:tcPr>
            <w:tcW w:type="dxa" w:w="210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Total</w:t>
            </w:r>
          </w:p>
        </w:tc>
        <w:tc>
          <w:tcPr>
            <w:tcW w:type="dxa" w:w="200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Gross margin</w:t>
            </w:r>
          </w:p>
        </w:tc>
      </w:tr>
      <w:tr>
        <w:tc>
          <w:tcPr>
            <w:tcW w:type="dxa" w:w="31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Enhancer Starter</w:t>
            </w:r>
          </w:p>
        </w:tc>
        <w:tc>
          <w:tcPr>
            <w:tcW w:type="dxa" w:w="21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$25 / mo</w:t>
            </w:r>
          </w:p>
        </w:tc>
        <w:tc>
          <w:tcPr>
            <w:tcW w:type="dxa" w:w="21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$2.46</w:t>
            </w:r>
          </w:p>
        </w:tc>
        <w:tc>
          <w:tcPr>
            <w:tcW w:type="dxa" w:w="20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$2.00</w:t>
            </w:r>
          </w:p>
        </w:tc>
        <w:tc>
          <w:tcPr>
            <w:tcW w:type="dxa" w:w="21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$4.46</w:t>
            </w:r>
          </w:p>
        </w:tc>
        <w:tc>
          <w:tcPr>
            <w:tcW w:type="dxa" w:w="20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B6D11"/>
                <w:sz w:val="16"/>
                <w:szCs w:val="16"/>
              </w:rPr>
              <w:t xml:space="preserve">82%</w:t>
            </w:r>
          </w:p>
        </w:tc>
      </w:tr>
      <w:tr>
        <w:tc>
          <w:tcPr>
            <w:tcW w:type="dxa" w:w="31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Enhancer Standard</w:t>
            </w:r>
          </w:p>
        </w:tc>
        <w:tc>
          <w:tcPr>
            <w:tcW w:type="dxa" w:w="21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$59 / mo</w:t>
            </w:r>
          </w:p>
        </w:tc>
        <w:tc>
          <w:tcPr>
            <w:tcW w:type="dxa" w:w="21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$6.81</w:t>
            </w:r>
          </w:p>
        </w:tc>
        <w:tc>
          <w:tcPr>
            <w:tcW w:type="dxa" w:w="20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$2.00</w:t>
            </w:r>
          </w:p>
        </w:tc>
        <w:tc>
          <w:tcPr>
            <w:tcW w:type="dxa" w:w="21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$8.81</w:t>
            </w:r>
          </w:p>
        </w:tc>
        <w:tc>
          <w:tcPr>
            <w:tcW w:type="dxa" w:w="20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B6D11"/>
                <w:sz w:val="16"/>
                <w:szCs w:val="16"/>
              </w:rPr>
              <w:t xml:space="preserve">85%</w:t>
            </w:r>
          </w:p>
        </w:tc>
      </w:tr>
      <w:tr>
        <w:tc>
          <w:tcPr>
            <w:tcW w:type="dxa" w:w="31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Enhancer Premium Pro</w:t>
            </w:r>
          </w:p>
        </w:tc>
        <w:tc>
          <w:tcPr>
            <w:tcW w:type="dxa" w:w="21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$125 / mo</w:t>
            </w:r>
          </w:p>
        </w:tc>
        <w:tc>
          <w:tcPr>
            <w:tcW w:type="dxa" w:w="21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$18.04</w:t>
            </w:r>
          </w:p>
        </w:tc>
        <w:tc>
          <w:tcPr>
            <w:tcW w:type="dxa" w:w="20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$2.00</w:t>
            </w:r>
          </w:p>
        </w:tc>
        <w:tc>
          <w:tcPr>
            <w:tcW w:type="dxa" w:w="21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$20.04</w:t>
            </w:r>
          </w:p>
        </w:tc>
        <w:tc>
          <w:tcPr>
            <w:tcW w:type="dxa" w:w="20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B6D11"/>
                <w:sz w:val="16"/>
                <w:szCs w:val="16"/>
              </w:rPr>
              <w:t xml:space="preserve">84%</w:t>
            </w:r>
          </w:p>
        </w:tc>
      </w:tr>
      <w:tr>
        <w:tc>
          <w:tcPr>
            <w:tcW w:type="dxa" w:w="31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Founder’s Circle</w:t>
            </w:r>
          </w:p>
        </w:tc>
        <w:tc>
          <w:tcPr>
            <w:tcW w:type="dxa" w:w="21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$166 / mo eq.</w:t>
            </w:r>
          </w:p>
        </w:tc>
        <w:tc>
          <w:tcPr>
            <w:tcW w:type="dxa" w:w="21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$22.55</w:t>
            </w:r>
          </w:p>
        </w:tc>
        <w:tc>
          <w:tcPr>
            <w:tcW w:type="dxa" w:w="20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$2.00</w:t>
            </w:r>
          </w:p>
        </w:tc>
        <w:tc>
          <w:tcPr>
            <w:tcW w:type="dxa" w:w="21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$24.55</w:t>
            </w:r>
          </w:p>
        </w:tc>
        <w:tc>
          <w:tcPr>
            <w:tcW w:type="dxa" w:w="20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B6D11"/>
                <w:sz w:val="16"/>
                <w:szCs w:val="16"/>
              </w:rPr>
              <w:t xml:space="preserve">85%</w:t>
            </w:r>
          </w:p>
        </w:tc>
      </w:tr>
      <w:tr>
        <w:tc>
          <w:tcPr>
            <w:tcW w:type="dxa" w:w="31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Business Pro Studio</w:t>
            </w:r>
          </w:p>
        </w:tc>
        <w:tc>
          <w:tcPr>
            <w:tcW w:type="dxa" w:w="21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$299 / mo</w:t>
            </w:r>
          </w:p>
        </w:tc>
        <w:tc>
          <w:tcPr>
            <w:tcW w:type="dxa" w:w="21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$18.92</w:t>
            </w:r>
          </w:p>
        </w:tc>
        <w:tc>
          <w:tcPr>
            <w:tcW w:type="dxa" w:w="20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$6.00</w:t>
            </w:r>
          </w:p>
        </w:tc>
        <w:tc>
          <w:tcPr>
            <w:tcW w:type="dxa" w:w="21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$24.92</w:t>
            </w:r>
          </w:p>
        </w:tc>
        <w:tc>
          <w:tcPr>
            <w:tcW w:type="dxa" w:w="20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B6D11"/>
                <w:sz w:val="16"/>
                <w:szCs w:val="16"/>
              </w:rPr>
              <w:t xml:space="preserve">92%</w:t>
            </w:r>
          </w:p>
        </w:tc>
      </w:tr>
      <w:tr>
        <w:tc>
          <w:tcPr>
            <w:tcW w:type="dxa" w:w="31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Business Pro Pro</w:t>
            </w:r>
          </w:p>
        </w:tc>
        <w:tc>
          <w:tcPr>
            <w:tcW w:type="dxa" w:w="21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$499 / mo</w:t>
            </w:r>
          </w:p>
        </w:tc>
        <w:tc>
          <w:tcPr>
            <w:tcW w:type="dxa" w:w="21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$31.53</w:t>
            </w:r>
          </w:p>
        </w:tc>
        <w:tc>
          <w:tcPr>
            <w:tcW w:type="dxa" w:w="20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$10.00</w:t>
            </w:r>
          </w:p>
        </w:tc>
        <w:tc>
          <w:tcPr>
            <w:tcW w:type="dxa" w:w="21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$41.53</w:t>
            </w:r>
          </w:p>
        </w:tc>
        <w:tc>
          <w:tcPr>
            <w:tcW w:type="dxa" w:w="20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B6D11"/>
                <w:sz w:val="16"/>
                <w:szCs w:val="16"/>
              </w:rPr>
              <w:t xml:space="preserve">92%</w:t>
            </w:r>
          </w:p>
        </w:tc>
      </w:tr>
      <w:tr>
        <w:tc>
          <w:tcPr>
            <w:tcW w:type="dxa" w:w="31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Business Pro Enterprise</w:t>
            </w:r>
          </w:p>
        </w:tc>
        <w:tc>
          <w:tcPr>
            <w:tcW w:type="dxa" w:w="21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$999 / mo</w:t>
            </w:r>
          </w:p>
        </w:tc>
        <w:tc>
          <w:tcPr>
            <w:tcW w:type="dxa" w:w="21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$63.07</w:t>
            </w:r>
          </w:p>
        </w:tc>
        <w:tc>
          <w:tcPr>
            <w:tcW w:type="dxa" w:w="20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$20.00</w:t>
            </w:r>
          </w:p>
        </w:tc>
        <w:tc>
          <w:tcPr>
            <w:tcW w:type="dxa" w:w="21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$83.07</w:t>
            </w:r>
          </w:p>
        </w:tc>
        <w:tc>
          <w:tcPr>
            <w:tcW w:type="dxa" w:w="20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3B6D11"/>
                <w:sz w:val="16"/>
                <w:szCs w:val="16"/>
              </w:rPr>
              <w:t xml:space="preserve">92%</w:t>
            </w:r>
          </w:p>
        </w:tc>
      </w:tr>
    </w:tbl>
    <w:p>
      <w:pPr>
        <w:spacing w:after="80" w:before="0"/>
      </w:pPr>
      <w:r>
        <w:rPr>
          <w:rFonts w:ascii="Calibri" w:cs="Calibri" w:eastAsia="Calibri" w:hAnsi="Calibri"/>
          <w:color w:val="20242E"/>
          <w:sz w:val="19"/>
          <w:szCs w:val="19"/>
        </w:rPr>
        <w:t xml:space="preserve"/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color w:val="3B6D11"/>
          <w:sz w:val="18"/>
          <w:szCs w:val="18"/>
        </w:rPr>
        <w:t xml:space="preserve">Margins run 82–92% across every tier. Cost is not the binding constraint — these limits exist to create honest upgrade pressure and make each tier coherent, not to protect the business from usage.</w:t>
      </w:r>
    </w:p>
    <w:p>
      <w:pPr>
        <w:spacing w:after="180" w:before="0"/>
      </w:pPr>
      <w:r>
        <w:rPr>
          <w:rFonts w:ascii="Calibri" w:cs="Calibri" w:eastAsia="Calibri" w:hAnsi="Calibri"/>
          <w:i/>
          <w:iCs/>
          <w:color w:val="5C5A52"/>
          <w:sz w:val="17"/>
          <w:szCs w:val="17"/>
        </w:rPr>
        <w:t xml:space="preserve">Unlimited appears nowhere in this document. Every tier — including Founder’s Circle — carries a real ceiling, set high enough that a normal user never touches it and low enough that a pathological one cannot drain the business. Founder’s Circle clears $1,702 of gross margin per member per year, fully maxed. It is not a tools tier with a bonus; it is a relationship tier with generous tools attached.</w:t>
      </w:r>
    </w:p>
    <w:p>
      <w:pPr>
        <w:pStyle w:val="Heading1"/>
        <w:spacing w:after="140" w:before="300"/>
      </w:pPr>
      <w:r>
        <w:rPr>
          <w:rFonts w:ascii="Georgia" w:cs="Georgia" w:eastAsia="Georgia" w:hAnsi="Georgia"/>
          <w:b/>
          <w:bCs/>
          <w:color w:val="15203A"/>
          <w:sz w:val="28"/>
          <w:szCs w:val="28"/>
        </w:rPr>
        <w:t xml:space="preserve">Revenue assumptions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color w:val="20242E"/>
          <w:sz w:val="19"/>
          <w:szCs w:val="19"/>
        </w:rPr>
        <w:t xml:space="preserve">Enhancer blended ARPU: $65.40/mo</w:t>
      </w:r>
    </w:p>
    <w:p>
      <w:pPr>
        <w:spacing w:after="100" w:before="0"/>
      </w:pPr>
      <w:r>
        <w:rPr>
          <w:rFonts w:ascii="Calibri" w:cs="Calibri" w:eastAsia="Calibri" w:hAnsi="Calibri"/>
          <w:color w:val="20242E"/>
          <w:sz w:val="19"/>
          <w:szCs w:val="19"/>
        </w:rPr>
        <w:t xml:space="preserve">Mix-weighted across Starter ($25) / Standard ($59) / Premium Pro ($125) using a strong-midpoint 20/60/20 weighting. This is the figure used in the 24-month financial model and the Investor Hub. Note: the 17-person closed beta showed an even 25% split across Free / Starter / Standard / Premium Pro, which implies ~$69.67 among paying users — so $65.40 is modestly conservative against real observed behavior. Hold at $65.40 until open beta provides a larger sample.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color w:val="20242E"/>
          <w:sz w:val="19"/>
          <w:szCs w:val="19"/>
        </w:rPr>
        <w:t xml:space="preserve">Business Pro blended ARPA: $559.00/mo</w:t>
      </w:r>
    </w:p>
    <w:p>
      <w:pPr>
        <w:spacing w:after="100" w:before="0"/>
      </w:pPr>
      <w:r>
        <w:rPr>
          <w:rFonts w:ascii="Calibri" w:cs="Calibri" w:eastAsia="Calibri" w:hAnsi="Calibri"/>
          <w:color w:val="20242E"/>
          <w:sz w:val="19"/>
          <w:szCs w:val="19"/>
        </w:rPr>
        <w:t xml:space="preserve">Mix-weighted across Studio / Pro / Enterprise on the same 20/60/20 basis.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color w:val="20242E"/>
          <w:sz w:val="19"/>
          <w:szCs w:val="19"/>
        </w:rPr>
        <w:t xml:space="preserve">Suite-wide blended ARPU: $57.05/mo</w:t>
      </w:r>
    </w:p>
    <w:p>
      <w:pPr>
        <w:spacing w:after="180" w:before="0"/>
      </w:pPr>
      <w:r>
        <w:rPr>
          <w:rFonts w:ascii="Calibri" w:cs="Calibri" w:eastAsia="Calibri" w:hAnsi="Calibri"/>
          <w:color w:val="20242E"/>
          <w:sz w:val="19"/>
          <w:szCs w:val="19"/>
        </w:rPr>
        <w:t xml:space="preserve">Calculated across all five products, auto-weighted from the live user mix in the financial model.</w:t>
      </w:r>
    </w:p>
    <w:p>
      <w:pPr>
        <w:pStyle w:val="Heading1"/>
        <w:spacing w:after="140" w:before="300"/>
      </w:pPr>
      <w:r>
        <w:rPr>
          <w:rFonts w:ascii="Georgia" w:cs="Georgia" w:eastAsia="Georgia" w:hAnsi="Georgia"/>
          <w:b/>
          <w:bCs/>
          <w:color w:val="15203A"/>
          <w:sz w:val="28"/>
          <w:szCs w:val="28"/>
        </w:rPr>
        <w:t xml:space="preserve">Future products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700"/>
        <w:gridCol w:w="2400"/>
        <w:gridCol w:w="2400"/>
        <w:gridCol w:w="2900"/>
        <w:gridCol w:w="3000"/>
      </w:tblGrid>
      <w:tr>
        <w:trPr>
          <w:tblHeader/>
        </w:trPr>
        <w:tc>
          <w:tcPr>
            <w:tcW w:type="dxa" w:w="270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Product</w:t>
            </w:r>
          </w:p>
        </w:tc>
        <w:tc>
          <w:tcPr>
            <w:tcW w:type="dxa" w:w="240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Launch</w:t>
            </w:r>
          </w:p>
        </w:tc>
        <w:tc>
          <w:tcPr>
            <w:tcW w:type="dxa" w:w="240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Model</w:t>
            </w:r>
          </w:p>
        </w:tc>
        <w:tc>
          <w:tcPr>
            <w:tcW w:type="dxa" w:w="290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Price range</w:t>
            </w:r>
          </w:p>
        </w:tc>
        <w:tc>
          <w:tcPr>
            <w:tcW w:type="dxa" w:w="3000"/>
            <w:shd w:fill="15203A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Notes</w:t>
            </w:r>
          </w:p>
        </w:tc>
      </w:tr>
      <w:tr>
        <w:tc>
          <w:tcPr>
            <w:tcW w:type="dxa" w:w="27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B-Ville Creator</w:t>
            </w:r>
          </w:p>
        </w:tc>
        <w:tc>
          <w:tcPr>
            <w:tcW w:type="dxa" w:w="24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Q2 2027</w:t>
            </w:r>
          </w:p>
        </w:tc>
        <w:tc>
          <w:tcPr>
            <w:tcW w:type="dxa" w:w="24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Freemium → tiered</w:t>
            </w:r>
          </w:p>
        </w:tc>
        <w:tc>
          <w:tcPr>
            <w:tcW w:type="dxa" w:w="29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Free – $99 / mo</w:t>
            </w:r>
          </w:p>
        </w:tc>
        <w:tc>
          <w:tcPr>
            <w:tcW w:type="dxa" w:w="30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Free: 1 format gen + 2 pitch docs / mo. Starter $25 (2/5) · Standard $49 (4/10) · Pro $99 (8/20). +$10 add-on = 2 extra format gens.</w:t>
            </w:r>
          </w:p>
        </w:tc>
      </w:tr>
      <w:tr>
        <w:tc>
          <w:tcPr>
            <w:tcW w:type="dxa" w:w="27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B-Ville Essentials</w:t>
            </w:r>
          </w:p>
        </w:tc>
        <w:tc>
          <w:tcPr>
            <w:tcW w:type="dxa" w:w="24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Q3 2027</w:t>
            </w:r>
          </w:p>
        </w:tc>
        <w:tc>
          <w:tcPr>
            <w:tcW w:type="dxa" w:w="24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Freemium → tiered</w:t>
            </w:r>
          </w:p>
        </w:tc>
        <w:tc>
          <w:tcPr>
            <w:tcW w:type="dxa" w:w="29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Free – $25 / mo</w:t>
            </w:r>
          </w:p>
        </w:tc>
        <w:tc>
          <w:tcPr>
            <w:tcW w:type="dxa" w:w="3000"/>
            <w:shd w:fill="FFFFFF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Free: core courses. Basic $9: premium modules. Plus $19: + live webinars. Pro $25: full toolkit + à la carte courses.</w:t>
            </w:r>
          </w:p>
        </w:tc>
      </w:tr>
      <w:tr>
        <w:tc>
          <w:tcPr>
            <w:tcW w:type="dxa" w:w="27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20242E"/>
                <w:sz w:val="16"/>
                <w:szCs w:val="16"/>
              </w:rPr>
              <w:t xml:space="preserve">B-Ville Funding Finder</w:t>
            </w:r>
          </w:p>
        </w:tc>
        <w:tc>
          <w:tcPr>
            <w:tcW w:type="dxa" w:w="24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Q3 2027</w:t>
            </w:r>
          </w:p>
        </w:tc>
        <w:tc>
          <w:tcPr>
            <w:tcW w:type="dxa" w:w="24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Subscription</w:t>
            </w:r>
          </w:p>
        </w:tc>
        <w:tc>
          <w:tcPr>
            <w:tcW w:type="dxa" w:w="29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$29 – $49 / mo</w:t>
            </w:r>
          </w:p>
        </w:tc>
        <w:tc>
          <w:tcPr>
            <w:tcW w:type="dxa" w:w="3000"/>
            <w:shd w:fill="F3ECDE" w:color="auto" w:val="clear"/>
            <w:tcMar>
              <w:top w:type="dxa" w:w="65"/>
              <w:left w:type="dxa" w:w="90"/>
              <w:bottom w:type="dxa" w:w="65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20242E"/>
                <w:sz w:val="16"/>
                <w:szCs w:val="16"/>
              </w:rPr>
              <w:t xml:space="preserve">Grant and funding matching. Limits TBD.</w:t>
            </w:r>
          </w:p>
        </w:tc>
      </w:tr>
    </w:tbl>
    <w:p>
      <w:pPr>
        <w:spacing w:after="180" w:before="0"/>
      </w:pPr>
      <w:r>
        <w:rPr>
          <w:rFonts w:ascii="Calibri" w:cs="Calibri" w:eastAsia="Calibri" w:hAnsi="Calibri"/>
          <w:color w:val="20242E"/>
          <w:sz w:val="19"/>
          <w:szCs w:val="19"/>
        </w:rPr>
        <w:t xml:space="preserve"/>
      </w:r>
    </w:p>
    <w:p>
      <w:pPr>
        <w:pStyle w:val="Heading1"/>
        <w:spacing w:after="140" w:before="300"/>
      </w:pPr>
      <w:r>
        <w:rPr>
          <w:rFonts w:ascii="Georgia" w:cs="Georgia" w:eastAsia="Georgia" w:hAnsi="Georgia"/>
          <w:b/>
          <w:bCs/>
          <w:color w:val="15203A"/>
          <w:sz w:val="28"/>
          <w:szCs w:val="28"/>
        </w:rPr>
        <w:t xml:space="preserve">Build items — required before open beta</w:t>
      </w:r>
    </w:p>
    <w:p>
      <w:pPr>
        <w:spacing w:after="120" w:before="0"/>
      </w:pPr>
      <w:r>
        <w:rPr>
          <w:rFonts w:ascii="Calibri" w:cs="Calibri" w:eastAsia="Calibri" w:hAnsi="Calibri"/>
          <w:b/>
          <w:bCs/>
          <w:color w:val="20242E"/>
          <w:sz w:val="19"/>
          <w:szCs w:val="19"/>
        </w:rPr>
        <w:t xml:space="preserve">These are pricing decisions, now documented. None are enforced in the app yet. Enhancer currently has no usage-limit system at all — every counter, cap, and gate in this document is a rule on paper until it is built. Scope with Larry before beta opens.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0242E"/>
          <w:sz w:val="18"/>
          <w:szCs w:val="18"/>
        </w:rPr>
        <w:t xml:space="preserve">Usage-limit system. Track and enforce all six counters per user per month, reset monthly. This is the foundation — nothing else works without it.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0242E"/>
          <w:sz w:val="18"/>
          <w:szCs w:val="18"/>
        </w:rPr>
        <w:t xml:space="preserve">Regenerate cap on Revise. 2 free regenerates per Revise Run; the 3rd and beyond consumes another Revise Run, with a confirmation dialog. Uncapped, a single Standard user could drive that tier from 85% margin down to 22% — the only place in the product where one user can meaningfully burn money.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0242E"/>
          <w:sz w:val="18"/>
          <w:szCs w:val="18"/>
        </w:rPr>
        <w:t xml:space="preserve">Hit List gating. Preview vs. full-list unlock by tier, plus the $19/mo Full Hit List Access add-on.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0242E"/>
          <w:sz w:val="18"/>
          <w:szCs w:val="18"/>
        </w:rPr>
        <w:t xml:space="preserve">Top-up purchase flow. Mix-and-match 10-packs, 25-packs, and à la carte singles, spendable across any counter.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0242E"/>
          <w:sz w:val="18"/>
          <w:szCs w:val="18"/>
        </w:rPr>
        <w:t xml:space="preserve">Annual billing. 20% off every tier; Founder’s Circle is annual-only.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0242E"/>
          <w:sz w:val="18"/>
          <w:szCs w:val="18"/>
        </w:rPr>
        <w:t xml:space="preserve">Founder’s Circle delivery. Monthly office hours, the private community, and early product access are commitments, not features — they need an owner and a calendar before the tier is sold.</w:t>
      </w:r>
    </w:p>
    <w:p>
      <w:pPr>
        <w:spacing w:after="140" w:before="0"/>
      </w:pPr>
      <w:r>
        <w:rPr>
          <w:rFonts w:ascii="Calibri" w:cs="Calibri" w:eastAsia="Calibri" w:hAnsi="Calibri"/>
          <w:color w:val="20242E"/>
          <w:sz w:val="19"/>
          <w:szCs w:val="19"/>
        </w:rPr>
        <w:t xml:space="preserve"/>
      </w:r>
    </w:p>
    <w:p>
      <w:pPr>
        <w:pStyle w:val="Heading1"/>
        <w:spacing w:after="140" w:before="300"/>
      </w:pPr>
      <w:r>
        <w:rPr>
          <w:rFonts w:ascii="Georgia" w:cs="Georgia" w:eastAsia="Georgia" w:hAnsi="Georgia"/>
          <w:b/>
          <w:bCs/>
          <w:color w:val="15203A"/>
          <w:sz w:val="28"/>
          <w:szCs w:val="28"/>
        </w:rPr>
        <w:t xml:space="preserve">Open questions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0242E"/>
          <w:sz w:val="18"/>
          <w:szCs w:val="18"/>
        </w:rPr>
        <w:t xml:space="preserve">Pipeline is 9 stages, not 10. Launch Draft is Stage 5, Package is Stage 7 (per GENERATOR_FLEET.md and ScriptEditorStage.tsx). Confirm the canonical count before print.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0242E"/>
          <w:sz w:val="18"/>
          <w:szCs w:val="18"/>
        </w:rPr>
        <w:t xml:space="preserve">Limits are provisional. Set pre-launch without behavioral data. The real unknown is how many Draft Runs and Revise Runs a working writer does per month. Measure in open beta and re-tune — most likely upward, given the margin headroom.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0242E"/>
          <w:sz w:val="18"/>
          <w:szCs w:val="18"/>
        </w:rPr>
        <w:t xml:space="preserve">Verify Lovable’s AI markup. Calls route through ai.gateway.lovable.dev, not Google directly. If Lovable marks up the underlying Gemini rate, every cost figure above shifts.</w:t>
      </w:r>
    </w:p>
    <w:p>
      <w:pPr>
        <w:spacing w:after="180" w:before="0"/>
      </w:pPr>
      <w:r>
        <w:rPr>
          <w:rFonts w:ascii="Calibri" w:cs="Calibri" w:eastAsia="Calibri" w:hAnsi="Calibri"/>
          <w:color w:val="20242E"/>
          <w:sz w:val="19"/>
          <w:szCs w:val="19"/>
        </w:rPr>
        <w:t xml:space="preserve"/>
      </w:r>
    </w:p>
    <w:p>
      <w:pPr>
        <w:pBdr>
          <w:top w:val="single" w:color="D8CDB6" w:sz="8"/>
        </w:pBdr>
        <w:spacing w:before="160"/>
      </w:pPr>
      <w:r>
        <w:rPr>
          <w:rFonts w:ascii="Calibri" w:cs="Calibri" w:eastAsia="Calibri" w:hAnsi="Calibri"/>
          <w:color w:val="5C5A52"/>
          <w:sz w:val="15"/>
          <w:szCs w:val="15"/>
        </w:rPr>
        <w:t xml:space="preserve">Batesville Media LLC · B-Ville Launch Pad Suite™ · Confidential &amp; Proprietary · v2.3 July 2026</w:t>
      </w:r>
    </w:p>
    <w:sectPr>
      <w:pgSz w:w="15840" w:h="12240" w:orient="landscape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2026-07-14T21:14:22.376Z</dcterms:created>
  <dcterms:modified xsi:type="dcterms:W3CDTF">2026-07-14T21:14:22.390Z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